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ind w:firstLine="0"/>
        <w:pStyle w:val="a"/>
        <w:rPr>
          <w:b w:val="1"/>
        </w:rPr>
      </w:pPr>
      <w:r>
        <w:rPr>
          <w:b w:val="1"/>
        </w:rPr>
        <w:t>ПРОТОКОЛ</w:t>
      </w:r>
    </w:p>
    <w:p>
      <w:pPr>
        <w:jc w:val="center"/>
        <w:ind w:firstLine="0"/>
        <w:pStyle w:val="a"/>
        <w:rPr>
          <w:b w:val="1"/>
        </w:rPr>
      </w:pPr>
      <w:r>
        <w:rPr>
          <w:b w:val="1"/>
        </w:rPr>
        <w:t xml:space="preserve">совещания инициативной группы от 28 октября 2015 года</w:t>
      </w:r>
    </w:p>
    <w:p>
      <w:pPr>
        <w:jc w:val="left"/>
        <w:ind w:firstLine="0"/>
        <w:pStyle w:val="a"/>
        <w:rPr>
          <w:b w:val="1"/>
        </w:rPr>
      </w:pPr>
    </w:p>
    <w:p>
      <w:pPr>
        <w:jc w:val="left"/>
        <w:ind w:firstLine="0"/>
        <w:pStyle w:val="a"/>
        <w:spacing w:lineRule="auto" w:line="360.0"/>
        <w:rPr>
          <w:b w:val="1"/>
        </w:rPr>
      </w:pPr>
      <w:r>
        <w:rPr>
          <w:b w:val="1"/>
        </w:rPr>
        <w:t xml:space="preserve">Место проведения: ул. Губкина, д.50.</w:t>
      </w:r>
    </w:p>
    <w:p>
      <w:pPr>
        <w:jc w:val="left"/>
        <w:ind w:firstLine="0"/>
        <w:pStyle w:val="a"/>
        <w:rPr>
          <w:b w:val="1"/>
        </w:rPr>
      </w:pPr>
      <w:r>
        <w:rPr>
          <w:b w:val="1"/>
        </w:rPr>
        <w:t xml:space="preserve">Присутствовали: </w:t>
      </w:r>
    </w:p>
    <w:p>
      <w:pPr>
        <w:ind w:firstLine="0"/>
        <w:pStyle w:val="a"/>
        <w:spacing w:before="120"/>
        <w:rPr>
          <w:b w:val="1"/>
        </w:rPr>
      </w:pPr>
      <w:r>
        <w:rPr>
          <w:b w:val="1"/>
        </w:rPr>
        <w:t xml:space="preserve">От ОО Федерация Рыболовов Любителей Республики Татарстан:</w:t>
      </w:r>
    </w:p>
    <w:p>
      <w:pPr>
        <w:ind w:firstLine="0"/>
        <w:pStyle w:val="a"/>
      </w:pPr>
      <w:r>
        <w:t xml:space="preserve">Ахмедов Нияз Рашидович – президент ФРЛ РТ;</w:t>
      </w:r>
    </w:p>
    <w:p>
      <w:pPr>
        <w:ind w:firstLine="0"/>
        <w:pStyle w:val="a"/>
      </w:pPr>
      <w:r>
        <w:t xml:space="preserve">Овчинников Андрей Борисович – вице-президент ФРЛ;</w:t>
      </w:r>
    </w:p>
    <w:p>
      <w:pPr>
        <w:ind w:firstLine="0"/>
        <w:pStyle w:val="a"/>
      </w:pPr>
      <w:r>
        <w:t xml:space="preserve">Котов Семен Геннадьевич – член совета ФРЛ;</w:t>
      </w:r>
    </w:p>
    <w:p>
      <w:pPr>
        <w:ind w:firstLine="0"/>
        <w:pStyle w:val="a"/>
      </w:pPr>
      <w:r>
        <w:t xml:space="preserve">Грошев Дмитрий Михайлович – член совета ФРЛ.</w:t>
      </w:r>
    </w:p>
    <w:p>
      <w:pPr>
        <w:ind w:firstLine="0"/>
        <w:pStyle w:val="a"/>
        <w:spacing w:before="120"/>
      </w:pPr>
      <w:r>
        <w:t xml:space="preserve">От интернет-форума tatfish.com:</w:t>
      </w:r>
    </w:p>
    <w:p>
      <w:pPr>
        <w:ind w:firstLine="0"/>
        <w:pStyle w:val="a"/>
      </w:pPr>
      <w:r>
        <w:t xml:space="preserve">Чурбанов Александр Викторович;</w:t>
      </w:r>
    </w:p>
    <w:p>
      <w:pPr>
        <w:ind w:firstLine="0"/>
        <w:pStyle w:val="a"/>
      </w:pPr>
      <w:r>
        <w:t xml:space="preserve">Махмутов Радик Наилович.</w:t>
      </w:r>
    </w:p>
    <w:p>
      <w:pPr>
        <w:ind w:firstLine="0"/>
        <w:pStyle w:val="a"/>
      </w:pPr>
    </w:p>
    <w:p>
      <w:pPr>
        <w:ind w:firstLine="0"/>
        <w:pStyle w:val="a"/>
        <w:spacing w:before="120"/>
        <w:rPr>
          <w:b w:val="1"/>
        </w:rPr>
      </w:pPr>
      <w:r>
        <w:rPr>
          <w:b w:val="1"/>
        </w:rPr>
        <w:t xml:space="preserve">От Министерства по делам гражданской обороны и чрезвычайным ситуациям  Республики Татарстан:</w:t>
      </w:r>
    </w:p>
    <w:p>
      <w:pPr>
        <w:ind w:firstLine="0"/>
        <w:pStyle w:val="a"/>
      </w:pPr>
      <w:r>
        <w:t xml:space="preserve">Степущенко Олег Александрович  – заместитель министра по делам гражданской обороны и чрезвычайным ситуациям Республики Татарстан;</w:t>
      </w:r>
    </w:p>
    <w:p>
      <w:pPr>
        <w:ind w:firstLine="0"/>
        <w:pStyle w:val="a"/>
      </w:pPr>
      <w:r>
        <w:t xml:space="preserve">Павлов Андрей Анатольевич – начальник юридического отдела;</w:t>
      </w:r>
    </w:p>
    <w:p>
      <w:pPr>
        <w:ind w:firstLine="0"/>
        <w:pStyle w:val="a"/>
      </w:pPr>
      <w:r>
        <w:t xml:space="preserve">Лозовая Ольга Михайловна – директор государственного бюджетного учреждения  Республики Татарстан  «Служба экстренных вызовов - 112»;</w:t>
      </w:r>
    </w:p>
    <w:p>
      <w:pPr>
        <w:ind w:firstLine="0"/>
        <w:pStyle w:val="a"/>
      </w:pPr>
      <w:r>
        <w:t xml:space="preserve">Захаров Сергей Алексеевич – главный специалист по поисково-спасательным работам ГКУ «Поисково-спасательная служба Республики Татарстан при МЧС  Республики Татарстан»;</w:t>
      </w:r>
    </w:p>
    <w:p>
      <w:pPr>
        <w:ind w:firstLine="0"/>
        <w:pStyle w:val="a"/>
      </w:pPr>
      <w:r>
        <w:t xml:space="preserve">Назмутдинов Алик Рафкатович – Председатель Общественного совета при МЧС Республики.</w:t>
      </w:r>
    </w:p>
    <w:p>
      <w:pPr>
        <w:ind w:firstLine="0"/>
        <w:pStyle w:val="a"/>
      </w:pPr>
    </w:p>
    <w:p>
      <w:pPr>
        <w:ind w:firstLine="0"/>
        <w:pStyle w:val="a"/>
        <w:rPr>
          <w:b w:val="1"/>
        </w:rPr>
      </w:pPr>
      <w:r>
        <w:rPr>
          <w:b w:val="1"/>
        </w:rPr>
        <w:t xml:space="preserve">От Министерства информатизации и связи Республики Татарстан:</w:t>
      </w:r>
    </w:p>
    <w:p>
      <w:pPr>
        <w:ind w:firstLine="0"/>
        <w:pStyle w:val="a"/>
      </w:pPr>
      <w:r>
        <w:t xml:space="preserve">Геллер Анатолий Яковлевич – заместитель министра информатизации и связи РТ;</w:t>
      </w:r>
    </w:p>
    <w:p>
      <w:pPr>
        <w:ind w:firstLine="0"/>
        <w:pStyle w:val="a"/>
      </w:pPr>
      <w:r>
        <w:t xml:space="preserve">Романчева Татьяна Олеговна – руководитель проектов Департамента геоинформатики и мониторинга ГУП «Центр информационных технологий Республики Татартан».</w:t>
      </w:r>
    </w:p>
    <w:p>
      <w:pPr>
        <w:ind w:firstLine="0"/>
        <w:pStyle w:val="a"/>
      </w:pPr>
    </w:p>
    <w:p>
      <w:pPr>
        <w:ind w:firstLine="0"/>
        <w:pStyle w:val="a"/>
        <w:rPr>
          <w:b w:val="1"/>
        </w:rPr>
      </w:pPr>
      <w:r>
        <w:rPr>
          <w:b w:val="1"/>
        </w:rPr>
        <w:t xml:space="preserve">От Министерства здравоохранения Республики Татарстан:</w:t>
      </w:r>
    </w:p>
    <w:p>
      <w:pPr>
        <w:ind w:firstLine="0"/>
        <w:pStyle w:val="a"/>
      </w:pPr>
      <w:r>
        <w:t xml:space="preserve">Барейчева Наталья Петровна – заведующая оперативно-диспетчерским отделом Центра медицины катастроф;</w:t>
      </w:r>
    </w:p>
    <w:p>
      <w:pPr>
        <w:ind w:firstLine="0"/>
        <w:pStyle w:val="a"/>
      </w:pPr>
      <w:r>
        <w:t xml:space="preserve">Николаев Владимир Николаевич – заместитель начальника отдела АСУП Центра медицины катастроф. </w:t>
      </w:r>
    </w:p>
    <w:p>
      <w:pPr>
        <w:ind w:firstLine="0"/>
        <w:pStyle w:val="a"/>
        <w:rPr>
          <w:b w:val="1"/>
        </w:rPr>
      </w:pPr>
    </w:p>
    <w:p>
      <w:pPr>
        <w:ind w:firstLine="0"/>
        <w:pStyle w:val="a"/>
        <w:rPr>
          <w:b w:val="1"/>
        </w:rPr>
      </w:pPr>
      <w:r>
        <w:rPr>
          <w:b w:val="1"/>
        </w:rPr>
        <w:t>Повестка:</w:t>
      </w:r>
    </w:p>
    <w:p>
      <w:pPr>
        <w:ind w:firstLine="709"/>
        <w:pStyle w:val="a"/>
      </w:pPr>
    </w:p>
    <w:p>
      <w:pPr>
        <w:ind w:firstLine="709"/>
        <w:pStyle w:val="a"/>
      </w:pPr>
      <w:r>
        <w:t xml:space="preserve">Обсуждение вопросов оптимизации работы системы-112 и улучшение межведомственного взаимодействия при реагировании на происшествия.</w:t>
      </w:r>
    </w:p>
    <w:p>
      <w:pPr>
        <w:ind w:firstLine="709"/>
        <w:pStyle w:val="a"/>
        <w:rPr>
          <w:b w:val="1"/>
        </w:rPr>
      </w:pPr>
    </w:p>
    <w:p>
      <w:pPr>
        <w:ind w:firstLine="709"/>
        <w:pStyle w:val="a"/>
      </w:pPr>
      <w:r>
        <w:t xml:space="preserve">1. Сроки начала функционирования определения места положения абонентского устройства, с которого производится обращение по номеру «112».</w:t>
      </w:r>
    </w:p>
    <w:p>
      <w:pPr>
        <w:ind w:firstLine="709"/>
        <w:pStyle w:val="a"/>
      </w:pPr>
      <w:r>
        <w:t xml:space="preserve">2. Предложение представителей ФРЛ РТ о создании своего программного продукта – мобильного приложения по определению места положения абонента и совместном с МИС РТ его тестировании.</w:t>
      </w:r>
    </w:p>
    <w:p>
      <w:pPr>
        <w:ind w:firstLine="709"/>
        <w:pStyle w:val="a"/>
      </w:pPr>
      <w:r>
        <w:t xml:space="preserve">3. Обсуждение функционирования приложения «Мобильный спасатель».</w:t>
      </w:r>
    </w:p>
    <w:p>
      <w:pPr>
        <w:ind w:firstLine="709"/>
        <w:pStyle w:val="a"/>
      </w:pPr>
      <w:r>
        <w:t xml:space="preserve">4. Использование в системе-112 телефонных справочников абонентов стационарной и мобильной связи.</w:t>
      </w:r>
    </w:p>
    <w:p>
      <w:pPr>
        <w:ind w:firstLine="709"/>
        <w:pStyle w:val="a"/>
      </w:pPr>
      <w:r>
        <w:t xml:space="preserve">5. Усовершенствование функции аудиоконференцсвязи между абонентами и службами.</w:t>
      </w:r>
    </w:p>
    <w:p>
      <w:pPr>
        <w:ind w:firstLine="709"/>
        <w:pStyle w:val="a"/>
      </w:pPr>
      <w:r>
        <w:t xml:space="preserve">6. Приоритетность повторного звонка с того же номера на сообщение, на которое в системе уже была заведена карточка происшествия.</w:t>
      </w:r>
    </w:p>
    <w:p>
      <w:pPr>
        <w:ind w:firstLine="709"/>
        <w:pStyle w:val="a"/>
      </w:pPr>
      <w:r>
        <w:t xml:space="preserve">7. Введение ответственности за заведомо ложные обращения на номер «112».</w:t>
      </w:r>
    </w:p>
    <w:p>
      <w:pPr>
        <w:ind w:firstLine="709"/>
        <w:pStyle w:val="a"/>
      </w:pPr>
      <w:r>
        <w:t xml:space="preserve">8. Предложение о проведении следующего заседания инициативной группы 11.11.2015.</w:t>
      </w:r>
    </w:p>
    <w:p>
      <w:pPr>
        <w:ind w:left="709" w:firstLine="709"/>
        <w:pStyle w:val="a"/>
        <w:rPr>
          <w:b w:val="1"/>
        </w:rPr>
      </w:pPr>
      <w:r>
        <w:rPr>
          <w:b w:val="1"/>
        </w:rPr>
        <w:t xml:space="preserve">Решили: </w:t>
      </w:r>
    </w:p>
    <w:p>
      <w:pPr>
        <w:ind w:left="0" w:firstLine="709"/>
        <w:pStyle w:val="a"/>
        <w:numPr>
          <w:ilvl w:val="0"/>
          <w:numId w:val="11"/>
        </w:numPr>
      </w:pPr>
      <w:r>
        <w:t xml:space="preserve">По п. 1 МИС РТ подготовить обращение в Министерство связи и массовых коммуникаций Российской Федерации об ускорении процесса подготовки законодательных актов по определению места положения абонентского устройства, с которого производится обращение по номеру «112». Копию предыдущего обращения МИС РТ в  Министерство связи и массовых коммуникаций Российской Федерации по данному вопросу направить в МЧС РТ 29.10.2015.</w:t>
      </w:r>
    </w:p>
    <w:p>
      <w:pPr>
        <w:ind w:left="0" w:firstLine="709"/>
        <w:pStyle w:val="a"/>
        <w:numPr>
          <w:ilvl w:val="0"/>
          <w:numId w:val="11"/>
        </w:numPr>
      </w:pPr>
      <w:r>
        <w:t xml:space="preserve">Принять предложение МИС РТ о решении вопроса по разработке мобильного приложения по определению местоположения абонента в систему-112.</w:t>
      </w:r>
    </w:p>
    <w:p>
      <w:pPr>
        <w:ind w:left="0" w:firstLine="709"/>
        <w:pStyle w:val="a"/>
        <w:numPr>
          <w:ilvl w:val="0"/>
          <w:numId w:val="11"/>
        </w:numPr>
      </w:pPr>
      <w:r>
        <w:t xml:space="preserve">По п. 3 МЧС РТ проработать вопрос с МЧС России по функционированию приложения «Мобильный спасатель».</w:t>
      </w:r>
    </w:p>
    <w:p>
      <w:pPr>
        <w:ind w:left="0" w:firstLine="709"/>
        <w:pStyle w:val="a"/>
        <w:numPr>
          <w:ilvl w:val="0"/>
          <w:numId w:val="11"/>
        </w:numPr>
      </w:pPr>
      <w:r>
        <w:t xml:space="preserve">По п. 4, 5, 6 МЧС РТ подготовить обращение в  адрес в Министерства информатизации и связи Республики Татарстан о доработках программного обеспечения, используемого в системе-112.</w:t>
      </w:r>
    </w:p>
    <w:p>
      <w:pPr>
        <w:ind w:left="0" w:firstLine="709"/>
        <w:pStyle w:val="a"/>
        <w:numPr>
          <w:ilvl w:val="0"/>
          <w:numId w:val="11"/>
        </w:numPr>
      </w:pPr>
      <w:r>
        <w:t xml:space="preserve">По п. 7 МЧС РТ проработать вопрос об обращении в адрес Государственного Совета Республики Татарстан о принятии законодательного акта об ответственности за совершение заведомо ложного сообщения.</w:t>
      </w:r>
    </w:p>
    <w:p>
      <w:pPr>
        <w:ind w:left="0" w:firstLine="709"/>
        <w:pStyle w:val="a"/>
        <w:numPr>
          <w:ilvl w:val="0"/>
          <w:numId w:val="11"/>
        </w:numPr>
      </w:pPr>
      <w:r>
        <w:t xml:space="preserve">По п. 8 решено провести следующее заседание инициативной группы 11.11.2015.</w:t>
      </w:r>
    </w:p>
    <w:p>
      <w:pPr>
        <w:pStyle w:val="a"/>
      </w:pPr>
    </w:p>
    <w:p>
      <w:pPr>
        <w:pStyle w:val="a"/>
      </w:pPr>
    </w:p>
    <w:tbl>
      <w:tblPr>
        <w:tblBorders>
          <w:right w:sz="0" w:val="none" w:color="000000"/>
          <w:insideV w:sz="0" w:val="none" w:color="000000"/>
          <w:bottom w:sz="0" w:val="none" w:color="000000"/>
          <w:top w:sz="0" w:val="none" w:color="000000"/>
          <w:insideH w:sz="0" w:val="none" w:color="000000"/>
          <w:left w:sz="0" w:val="none" w:color="000000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0"/>
      </w:tblPr>
      <w:tblGrid>
        <w:gridCol w:w="2736"/>
        <w:gridCol w:w="2540"/>
        <w:gridCol w:w="2604"/>
        <w:gridCol w:w="2541"/>
      </w:tblGrid>
      <w:tr>
        <w:trPr>
          <w:tblCellMar/>
        </w:trPr>
        <w:tblPrEx>
          <w:tblCellMar/>
        </w:tblPrEx>
        <w:tc>
          <w:tcPr>
            <w:tcW w:type="dxa" w:w="2605"/>
          </w:tcPr>
          <w:p>
            <w:pPr>
              <w:ind w:firstLine="0"/>
              <w:pStyle w:val="a"/>
            </w:pPr>
            <w:r>
              <w:t>__________________</w:t>
            </w:r>
          </w:p>
        </w:tc>
        <w:tc>
          <w:tcPr>
            <w:tcW w:type="dxa" w:w="2605"/>
          </w:tcPr>
          <w:p>
            <w:pPr>
              <w:ind w:firstLine="0"/>
              <w:pStyle w:val="a"/>
            </w:pPr>
            <w:r>
              <w:t xml:space="preserve">Н.Р. Ахмедов</w:t>
            </w:r>
          </w:p>
          <w:p>
            <w:pPr>
              <w:ind w:firstLine="0"/>
              <w:pStyle w:val="a"/>
            </w:pPr>
          </w:p>
        </w:tc>
        <w:tc>
          <w:tcPr>
            <w:tcW w:type="dxa" w:w="2605"/>
          </w:tcPr>
          <w:p>
            <w:pPr>
              <w:ind w:firstLine="0"/>
              <w:pStyle w:val="a"/>
            </w:pPr>
            <w:r>
              <w:t>_________________</w:t>
            </w:r>
          </w:p>
        </w:tc>
        <w:tc>
          <w:tcPr>
            <w:tcW w:type="dxa" w:w="2606"/>
          </w:tcPr>
          <w:p>
            <w:pPr>
              <w:ind w:firstLine="0"/>
              <w:pStyle w:val="a"/>
            </w:pPr>
            <w:r>
              <w:t xml:space="preserve">О.А. Степущенко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2605"/>
          </w:tcPr>
          <w:p>
            <w:pPr>
              <w:ind w:firstLine="0"/>
              <w:pStyle w:val="a"/>
            </w:pPr>
            <w:r>
              <w:t>__________________</w:t>
            </w:r>
          </w:p>
        </w:tc>
        <w:tc>
          <w:tcPr>
            <w:tcW w:type="dxa" w:w="2605"/>
          </w:tcPr>
          <w:p>
            <w:pPr>
              <w:ind w:firstLine="0"/>
              <w:pStyle w:val="a"/>
            </w:pPr>
            <w:r>
              <w:t xml:space="preserve">А.Б. Овчинников</w:t>
            </w:r>
          </w:p>
          <w:p>
            <w:pPr>
              <w:ind w:firstLine="0"/>
              <w:pStyle w:val="a"/>
            </w:pPr>
          </w:p>
        </w:tc>
        <w:tc>
          <w:tcPr>
            <w:tcW w:type="dxa" w:w="2605"/>
          </w:tcPr>
          <w:p>
            <w:pPr>
              <w:ind w:firstLine="0"/>
              <w:pStyle w:val="a"/>
            </w:pPr>
            <w:r>
              <w:t>_________________</w:t>
            </w:r>
          </w:p>
        </w:tc>
        <w:tc>
          <w:tcPr>
            <w:tcW w:type="dxa" w:w="2606"/>
          </w:tcPr>
          <w:p>
            <w:pPr>
              <w:ind w:firstLine="0"/>
              <w:pStyle w:val="a"/>
            </w:pPr>
            <w:r>
              <w:t xml:space="preserve">А.Я. Геллер</w:t>
            </w:r>
          </w:p>
        </w:tc>
      </w:tr>
    </w:tbl>
    <w:p>
      <w:pPr>
        <w:ind w:firstLine="709"/>
        <w:pStyle w:val="a"/>
      </w:pPr>
    </w:p>
    <w:p>
      <w:pPr>
        <w:ind w:firstLine="709"/>
        <w:pStyle w:val="a"/>
      </w:pPr>
    </w:p>
    <w:p>
      <w:pPr>
        <w:ind w:left="709" w:firstLine="0"/>
        <w:pStyle w:val="a"/>
      </w:pPr>
    </w:p>
    <w:sectPr>
      <w:pgSz w:w="11906" w:h="16838"/>
      <w:pgMar w:top="1134" w:bottom="709" w:left="1134" w:right="567"/>
      <w:docGrid w:linePitch="381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3">
    <w:lvl w:ilvl="0">
      <w:numFmt w:val="decimal"/>
      <w:lvlText w:val="%1."/>
      <w:start w:val="1"/>
      <w:pPr>
        <w:ind w:left="928" w:hanging="360"/>
      </w:pPr>
    </w:lvl>
    <w:lvl w:ilvl="1">
      <w:numFmt w:val="decimal"/>
      <w:lvlText w:val="%2."/>
      <w:start w:val="1"/>
      <w:pPr>
        <w:ind w:left="1648" w:hanging="360"/>
      </w:pPr>
    </w:lvl>
    <w:lvl w:ilvl="2">
      <w:numFmt w:val="decimal"/>
      <w:lvlText w:val="%3."/>
      <w:start w:val="1"/>
      <w:pPr>
        <w:ind w:left="2368" w:hanging="180"/>
      </w:pPr>
    </w:lvl>
    <w:lvl w:ilvl="3">
      <w:numFmt w:val="decimal"/>
      <w:lvlText w:val="%4."/>
      <w:start w:val="1"/>
      <w:pPr>
        <w:ind w:left="3088" w:hanging="360"/>
      </w:pPr>
    </w:lvl>
    <w:lvl w:ilvl="4">
      <w:numFmt w:val="decimal"/>
      <w:lvlText w:val="%5."/>
      <w:start w:val="1"/>
      <w:pPr>
        <w:ind w:left="3808" w:hanging="360"/>
      </w:pPr>
    </w:lvl>
    <w:lvl w:ilvl="5">
      <w:numFmt w:val="decimal"/>
      <w:lvlText w:val="%6."/>
      <w:start w:val="1"/>
      <w:pPr>
        <w:ind w:left="4528" w:hanging="180"/>
      </w:pPr>
    </w:lvl>
    <w:lvl w:ilvl="6">
      <w:numFmt w:val="decimal"/>
      <w:lvlText w:val="%7."/>
      <w:start w:val="1"/>
      <w:pPr>
        <w:ind w:left="5248" w:hanging="360"/>
      </w:pPr>
    </w:lvl>
    <w:lvl w:ilvl="7">
      <w:numFmt w:val="decimal"/>
      <w:lvlText w:val="%8."/>
      <w:start w:val="1"/>
      <w:pPr>
        <w:ind w:left="5968" w:hanging="360"/>
      </w:pPr>
    </w:lvl>
    <w:lvl w:ilvl="8">
      <w:numFmt w:val="decimal"/>
      <w:lvlText w:val="%9."/>
      <w:start w:val="1"/>
      <w:pPr>
        <w:ind w:left="6688" w:hanging="180"/>
      </w:pPr>
    </w:lvl>
  </w:abstractNum>
  <w:abstractNum w:abstractNumId="4">
    <w:lvl w:ilvl="0">
      <w:numFmt w:val="decimal"/>
      <w:lvlText w:val="%1."/>
      <w:start w:val="1"/>
      <w:pPr>
        <w:ind w:left="720" w:hanging="360"/>
      </w:pPr>
      <w:rPr>
        <w:b w:val="0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5">
    <w:lvl w:ilvl="0">
      <w:numFmt w:val="decimal"/>
      <w:lvlText w:val="%1."/>
      <w:start w:val="1"/>
      <w:pPr>
        <w:ind w:left="720" w:hanging="360"/>
      </w:pPr>
      <w:rPr>
        <w:b w:val="0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">
    <w:lvl w:ilvl="0">
      <w:numFmt w:val="decimal"/>
      <w:lvlText w:val="%1."/>
      <w:start w:val="1"/>
      <w:pPr>
        <w:ind w:left="1428" w:hanging="360"/>
      </w:pPr>
    </w:lvl>
    <w:lvl w:ilvl="1">
      <w:numFmt w:val="decimal"/>
      <w:lvlText w:val="%2."/>
      <w:start w:val="1"/>
      <w:pPr>
        <w:ind w:left="2148" w:hanging="360"/>
      </w:pPr>
    </w:lvl>
    <w:lvl w:ilvl="2">
      <w:numFmt w:val="decimal"/>
      <w:lvlText w:val="%3."/>
      <w:start w:val="1"/>
      <w:pPr>
        <w:ind w:left="2868" w:hanging="180"/>
      </w:pPr>
    </w:lvl>
    <w:lvl w:ilvl="3">
      <w:numFmt w:val="decimal"/>
      <w:lvlText w:val="%4."/>
      <w:start w:val="1"/>
      <w:pPr>
        <w:ind w:left="3588" w:hanging="360"/>
      </w:pPr>
    </w:lvl>
    <w:lvl w:ilvl="4">
      <w:numFmt w:val="decimal"/>
      <w:lvlText w:val="%5."/>
      <w:start w:val="1"/>
      <w:pPr>
        <w:ind w:left="4308" w:hanging="360"/>
      </w:pPr>
    </w:lvl>
    <w:lvl w:ilvl="5">
      <w:numFmt w:val="decimal"/>
      <w:lvlText w:val="%6."/>
      <w:start w:val="1"/>
      <w:pPr>
        <w:ind w:left="5028" w:hanging="180"/>
      </w:pPr>
    </w:lvl>
    <w:lvl w:ilvl="6">
      <w:numFmt w:val="decimal"/>
      <w:lvlText w:val="%7."/>
      <w:start w:val="1"/>
      <w:pPr>
        <w:ind w:left="5748" w:hanging="360"/>
      </w:pPr>
    </w:lvl>
    <w:lvl w:ilvl="7">
      <w:numFmt w:val="decimal"/>
      <w:lvlText w:val="%8."/>
      <w:start w:val="1"/>
      <w:pPr>
        <w:ind w:left="6468" w:hanging="360"/>
      </w:pPr>
    </w:lvl>
    <w:lvl w:ilvl="8">
      <w:numFmt w:val="decimal"/>
      <w:lvlText w:val="%9."/>
      <w:start w:val="1"/>
      <w:pPr>
        <w:ind w:left="7188" w:hanging="180"/>
      </w:pPr>
    </w:lvl>
  </w:abstractNum>
  <w:abstractNum w:abstractNumId="7">
    <w:lvl w:ilvl="0">
      <w:numFmt w:val="decimal"/>
      <w:lvlText w:val="%1."/>
      <w:start w:val="1"/>
      <w:pPr>
        <w:ind w:left="1758" w:hanging="1050"/>
      </w:pPr>
    </w:lvl>
    <w:lvl w:ilvl="1">
      <w:numFmt w:val="decimal"/>
      <w:lvlText w:val="%2."/>
      <w:start w:val="1"/>
      <w:pPr>
        <w:ind w:left="1788" w:hanging="360"/>
      </w:pPr>
    </w:lvl>
    <w:lvl w:ilvl="2">
      <w:numFmt w:val="decimal"/>
      <w:lvlText w:val="%3."/>
      <w:start w:val="1"/>
      <w:pPr>
        <w:ind w:left="2508" w:hanging="180"/>
      </w:pPr>
    </w:lvl>
    <w:lvl w:ilvl="3">
      <w:numFmt w:val="decimal"/>
      <w:lvlText w:val="%4."/>
      <w:start w:val="1"/>
      <w:pPr>
        <w:ind w:left="3228" w:hanging="360"/>
      </w:pPr>
    </w:lvl>
    <w:lvl w:ilvl="4">
      <w:numFmt w:val="decimal"/>
      <w:lvlText w:val="%5."/>
      <w:start w:val="1"/>
      <w:pPr>
        <w:ind w:left="3948" w:hanging="360"/>
      </w:pPr>
    </w:lvl>
    <w:lvl w:ilvl="5">
      <w:numFmt w:val="decimal"/>
      <w:lvlText w:val="%6."/>
      <w:start w:val="1"/>
      <w:pPr>
        <w:ind w:left="4668" w:hanging="180"/>
      </w:pPr>
    </w:lvl>
    <w:lvl w:ilvl="6">
      <w:numFmt w:val="decimal"/>
      <w:lvlText w:val="%7."/>
      <w:start w:val="1"/>
      <w:pPr>
        <w:ind w:left="5388" w:hanging="360"/>
      </w:pPr>
    </w:lvl>
    <w:lvl w:ilvl="7">
      <w:numFmt w:val="decimal"/>
      <w:lvlText w:val="%8."/>
      <w:start w:val="1"/>
      <w:pPr>
        <w:ind w:left="6108" w:hanging="360"/>
      </w:pPr>
    </w:lvl>
    <w:lvl w:ilvl="8">
      <w:numFmt w:val="decimal"/>
      <w:lvlText w:val="%9."/>
      <w:start w:val="1"/>
      <w:pPr>
        <w:ind w:left="6828" w:hanging="180"/>
      </w:pPr>
    </w:lvl>
  </w:abstractNum>
  <w:abstractNum w:abstractNumId="8">
    <w:lvl w:ilvl="0">
      <w:numFmt w:val="decimal"/>
      <w:lvlText w:val="%1."/>
      <w:start w:val="1"/>
      <w:pPr>
        <w:ind w:left="2107" w:hanging="1050"/>
      </w:pPr>
    </w:lvl>
    <w:lvl w:ilvl="1">
      <w:numFmt w:val="decimal"/>
      <w:lvlText w:val="%2."/>
      <w:start w:val="1"/>
      <w:pPr>
        <w:ind w:left="1789" w:hanging="360"/>
      </w:pPr>
    </w:lvl>
    <w:lvl w:ilvl="2">
      <w:numFmt w:val="decimal"/>
      <w:lvlText w:val="%3."/>
      <w:start w:val="1"/>
      <w:pPr>
        <w:ind w:left="2509" w:hanging="180"/>
      </w:pPr>
    </w:lvl>
    <w:lvl w:ilvl="3">
      <w:numFmt w:val="decimal"/>
      <w:lvlText w:val="%4."/>
      <w:start w:val="1"/>
      <w:pPr>
        <w:ind w:left="3229" w:hanging="360"/>
      </w:pPr>
    </w:lvl>
    <w:lvl w:ilvl="4">
      <w:numFmt w:val="decimal"/>
      <w:lvlText w:val="%5."/>
      <w:start w:val="1"/>
      <w:pPr>
        <w:ind w:left="3949" w:hanging="360"/>
      </w:pPr>
    </w:lvl>
    <w:lvl w:ilvl="5">
      <w:numFmt w:val="decimal"/>
      <w:lvlText w:val="%6."/>
      <w:start w:val="1"/>
      <w:pPr>
        <w:ind w:left="4669" w:hanging="180"/>
      </w:pPr>
    </w:lvl>
    <w:lvl w:ilvl="6">
      <w:numFmt w:val="decimal"/>
      <w:lvlText w:val="%7."/>
      <w:start w:val="1"/>
      <w:pPr>
        <w:ind w:left="5389" w:hanging="360"/>
      </w:pPr>
    </w:lvl>
    <w:lvl w:ilvl="7">
      <w:numFmt w:val="decimal"/>
      <w:lvlText w:val="%8."/>
      <w:start w:val="1"/>
      <w:pPr>
        <w:ind w:left="6109" w:hanging="360"/>
      </w:pPr>
    </w:lvl>
    <w:lvl w:ilvl="8">
      <w:numFmt w:val="decimal"/>
      <w:lvlText w:val="%9."/>
      <w:start w:val="1"/>
      <w:pPr>
        <w:ind w:left="6829" w:hanging="180"/>
      </w:pPr>
    </w:lvl>
  </w:abstractNum>
  <w:abstractNum w:abstractNumId="9">
    <w:lvl w:ilvl="0">
      <w:numFmt w:val="decimal"/>
      <w:lvlText w:val="%1."/>
      <w:start w:val="1"/>
      <w:pPr>
        <w:ind w:left="1759" w:hanging="1050"/>
      </w:pPr>
    </w:lvl>
    <w:lvl w:ilvl="1">
      <w:numFmt w:val="decimal"/>
      <w:lvlText w:val="%2."/>
      <w:start w:val="1"/>
      <w:pPr>
        <w:ind w:left="1789" w:hanging="360"/>
      </w:pPr>
    </w:lvl>
    <w:lvl w:ilvl="2">
      <w:numFmt w:val="decimal"/>
      <w:lvlText w:val="%3."/>
      <w:start w:val="1"/>
      <w:pPr>
        <w:ind w:left="2509" w:hanging="180"/>
      </w:pPr>
    </w:lvl>
    <w:lvl w:ilvl="3">
      <w:numFmt w:val="decimal"/>
      <w:lvlText w:val="%4."/>
      <w:start w:val="1"/>
      <w:pPr>
        <w:ind w:left="3229" w:hanging="360"/>
      </w:pPr>
    </w:lvl>
    <w:lvl w:ilvl="4">
      <w:numFmt w:val="decimal"/>
      <w:lvlText w:val="%5."/>
      <w:start w:val="1"/>
      <w:pPr>
        <w:ind w:left="3949" w:hanging="360"/>
      </w:pPr>
    </w:lvl>
    <w:lvl w:ilvl="5">
      <w:numFmt w:val="decimal"/>
      <w:lvlText w:val="%6."/>
      <w:start w:val="1"/>
      <w:pPr>
        <w:ind w:left="4669" w:hanging="180"/>
      </w:pPr>
    </w:lvl>
    <w:lvl w:ilvl="6">
      <w:numFmt w:val="decimal"/>
      <w:lvlText w:val="%7."/>
      <w:start w:val="1"/>
      <w:pPr>
        <w:ind w:left="5389" w:hanging="360"/>
      </w:pPr>
    </w:lvl>
    <w:lvl w:ilvl="7">
      <w:numFmt w:val="decimal"/>
      <w:lvlText w:val="%8."/>
      <w:start w:val="1"/>
      <w:pPr>
        <w:ind w:left="6109" w:hanging="360"/>
      </w:pPr>
    </w:lvl>
    <w:lvl w:ilvl="8">
      <w:numFmt w:val="decimal"/>
      <w:lvlText w:val="%9."/>
      <w:start w:val="1"/>
      <w:pPr>
        <w:ind w:left="6829" w:hanging="180"/>
      </w:pPr>
    </w:lvl>
  </w:abstractNum>
  <w:abstractNum w:abstractNumId="10">
    <w:lvl w:ilvl="0">
      <w:numFmt w:val="decimal"/>
      <w:lvlText w:val="%1."/>
      <w:start w:val="1"/>
      <w:pPr>
        <w:ind w:left="1849" w:hanging="1140"/>
      </w:pPr>
    </w:lvl>
    <w:lvl w:ilvl="1">
      <w:numFmt w:val="decimal"/>
      <w:lvlText w:val="%2."/>
      <w:start w:val="1"/>
      <w:pPr>
        <w:ind w:left="1789" w:hanging="360"/>
      </w:pPr>
    </w:lvl>
    <w:lvl w:ilvl="2">
      <w:numFmt w:val="decimal"/>
      <w:lvlText w:val="%3."/>
      <w:start w:val="1"/>
      <w:pPr>
        <w:ind w:left="2509" w:hanging="180"/>
      </w:pPr>
    </w:lvl>
    <w:lvl w:ilvl="3">
      <w:numFmt w:val="decimal"/>
      <w:lvlText w:val="%4."/>
      <w:start w:val="1"/>
      <w:pPr>
        <w:ind w:left="3229" w:hanging="360"/>
      </w:pPr>
    </w:lvl>
    <w:lvl w:ilvl="4">
      <w:numFmt w:val="decimal"/>
      <w:lvlText w:val="%5."/>
      <w:start w:val="1"/>
      <w:pPr>
        <w:ind w:left="3949" w:hanging="360"/>
      </w:pPr>
    </w:lvl>
    <w:lvl w:ilvl="5">
      <w:numFmt w:val="decimal"/>
      <w:lvlText w:val="%6."/>
      <w:start w:val="1"/>
      <w:pPr>
        <w:ind w:left="4669" w:hanging="180"/>
      </w:pPr>
    </w:lvl>
    <w:lvl w:ilvl="6">
      <w:numFmt w:val="decimal"/>
      <w:lvlText w:val="%7."/>
      <w:start w:val="1"/>
      <w:pPr>
        <w:ind w:left="5389" w:hanging="360"/>
      </w:pPr>
    </w:lvl>
    <w:lvl w:ilvl="7">
      <w:numFmt w:val="decimal"/>
      <w:lvlText w:val="%8."/>
      <w:start w:val="1"/>
      <w:pPr>
        <w:ind w:left="6109" w:hanging="360"/>
      </w:pPr>
    </w:lvl>
    <w:lvl w:ilvl="8">
      <w:numFmt w:val="decimal"/>
      <w:lvlText w:val="%9."/>
      <w:start w:val="1"/>
      <w:pPr>
        <w:ind w:left="6829" w:hanging="180"/>
      </w:pPr>
    </w:lvl>
  </w:abstractNum>
  <w:abstractNum w:abstractNumId="11">
    <w:lvl w:ilvl="0">
      <w:numFmt w:val="decimal"/>
      <w:lvlText w:val="%1."/>
      <w:start w:val="1"/>
      <w:pPr>
        <w:ind w:left="1069" w:hanging="360"/>
      </w:pPr>
    </w:lvl>
    <w:lvl w:ilvl="1">
      <w:numFmt w:val="decimal"/>
      <w:lvlText w:val="%2."/>
      <w:start w:val="1"/>
      <w:pPr>
        <w:ind w:left="1789" w:hanging="360"/>
      </w:pPr>
    </w:lvl>
    <w:lvl w:ilvl="2">
      <w:numFmt w:val="decimal"/>
      <w:lvlText w:val="%3."/>
      <w:start w:val="1"/>
      <w:pPr>
        <w:ind w:left="2509" w:hanging="180"/>
      </w:pPr>
    </w:lvl>
    <w:lvl w:ilvl="3">
      <w:numFmt w:val="decimal"/>
      <w:lvlText w:val="%4."/>
      <w:start w:val="1"/>
      <w:pPr>
        <w:ind w:left="3229" w:hanging="360"/>
      </w:pPr>
    </w:lvl>
    <w:lvl w:ilvl="4">
      <w:numFmt w:val="decimal"/>
      <w:lvlText w:val="%5."/>
      <w:start w:val="1"/>
      <w:pPr>
        <w:ind w:left="3949" w:hanging="360"/>
      </w:pPr>
    </w:lvl>
    <w:lvl w:ilvl="5">
      <w:numFmt w:val="decimal"/>
      <w:lvlText w:val="%6."/>
      <w:start w:val="1"/>
      <w:pPr>
        <w:ind w:left="4669" w:hanging="180"/>
      </w:pPr>
    </w:lvl>
    <w:lvl w:ilvl="6">
      <w:numFmt w:val="decimal"/>
      <w:lvlText w:val="%7."/>
      <w:start w:val="1"/>
      <w:pPr>
        <w:ind w:left="5389" w:hanging="360"/>
      </w:pPr>
    </w:lvl>
    <w:lvl w:ilvl="7">
      <w:numFmt w:val="decimal"/>
      <w:lvlText w:val="%8."/>
      <w:start w:val="1"/>
      <w:pPr>
        <w:ind w:left="6109" w:hanging="360"/>
      </w:pPr>
    </w:lvl>
    <w:lvl w:ilvl="8">
      <w:numFmt w:val="decimal"/>
      <w:lvlText w:val="%9."/>
      <w:start w:val="1"/>
      <w:pPr>
        <w:ind w:left="6829" w:hanging="180"/>
      </w:pPr>
    </w:lvl>
  </w:abstractNum>
  <w:abstractNum w:abstractNumId="12">
    <w:lvl w:ilvl="0">
      <w:numFmt w:val="bullet"/>
      <w:lvlText w:val=""/>
      <w:start w:val="1"/>
      <w:pPr>
        <w:ind w:left="1503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223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943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663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83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103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823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543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263" w:hanging="360"/>
      </w:pPr>
      <w:rPr>
        <w:rFonts w:hAnsi="Wingdings" w:asci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2">
    <w:abstractNumId w:val="12"/>
  </w:num>
  <w:num w:numId="11">
    <w:abstractNumId w:val="11"/>
  </w:num>
  <w:num w:numId="10">
    <w:abstractNumId w:val="10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</w:rPr>
    </w:rPrDefault>
    <w:pPrDefault/>
  </w:docDefaults>
  <w:style w:styleId="a" w:type="paragraph">
    <w:name w:val="Normal"/>
    <w:pPr>
      <w:jc w:val="both"/>
      <w:ind w:firstLine="851"/>
    </w:pPr>
    <w:rPr>
      <w:rFonts w:hAnsi="Times New Roman" w:ascii="Times New Roman"/>
      <w:sz w:val="28"/>
    </w:rPr>
  </w:style>
  <w:style w:styleId="a9" w:type="paragraph">
    <w:name w:val="footer"/>
    <w:pPr>
      <w:jc w:val="both"/>
      <w:ind w:firstLine="851"/>
    </w:pPr>
    <w:rPr>
      <w:rFonts w:hAnsi="Times New Roman" w:ascii="Times New Roman"/>
      <w:sz w:val="28"/>
    </w:rPr>
  </w:style>
  <w:style w:styleId="a3" w:type="paragraph">
    <w:name w:val="List Paragraph"/>
    <w:pPr>
      <w:jc w:val="both"/>
      <w:ind w:left="720" w:firstLine="851"/>
    </w:pPr>
    <w:rPr>
      <w:rFonts w:hAnsi="Times New Roman" w:ascii="Times New Roman"/>
      <w:sz w:val="28"/>
    </w:rPr>
  </w:style>
  <w:style w:styleId="a4" w:type="paragraph">
    <w:name w:val="Balloon Text"/>
    <w:pPr>
      <w:jc w:val="both"/>
      <w:ind w:firstLine="851"/>
    </w:pPr>
    <w:rPr>
      <w:rFonts w:hAnsi="Tahoma" w:ascii="Tahoma"/>
      <w:sz w:val="16"/>
    </w:rPr>
  </w:style>
  <w:style w:styleId="a7" w:type="paragraph">
    <w:name w:val="header"/>
    <w:pPr>
      <w:jc w:val="both"/>
      <w:ind w:firstLine="851"/>
    </w:pPr>
    <w:rPr>
      <w:rFonts w:hAnsi="Times New Roman" w:ascii="Times New Roman"/>
      <w:sz w:val="28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протокол совещания 28.10.2015 (1).docx</dc:title>
</cp:coreProperties>
</file>